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4B8B" w:rsidRDefault="002518B6">
      <w:r>
        <w:rPr>
          <w:noProof/>
          <w:lang w:eastAsia="fr-FR"/>
        </w:rPr>
        <w:drawing>
          <wp:anchor distT="0" distB="0" distL="114300" distR="114300" simplePos="0" relativeHeight="251658240" behindDoc="0" locked="0" layoutInCell="1" allowOverlap="1">
            <wp:simplePos x="0" y="0"/>
            <wp:positionH relativeFrom="column">
              <wp:posOffset>5530850</wp:posOffset>
            </wp:positionH>
            <wp:positionV relativeFrom="paragraph">
              <wp:posOffset>90805</wp:posOffset>
            </wp:positionV>
            <wp:extent cx="857250" cy="829945"/>
            <wp:effectExtent l="0" t="0" r="0" b="8255"/>
            <wp:wrapNone/>
            <wp:docPr id="2" name="Image 2" descr="O:\Logo\EN PLU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Logo\EN PLUS.png"/>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57250" cy="829945"/>
                    </a:xfrm>
                    <a:prstGeom prst="rect">
                      <a:avLst/>
                    </a:prstGeom>
                    <a:noFill/>
                    <a:ln>
                      <a:noFill/>
                    </a:ln>
                  </pic:spPr>
                </pic:pic>
              </a:graphicData>
            </a:graphic>
          </wp:anchor>
        </w:drawing>
      </w:r>
      <w:r>
        <w:rPr>
          <w:rFonts w:ascii="Arial" w:hAnsi="Arial" w:cs="Arial"/>
          <w:noProof/>
          <w:sz w:val="20"/>
          <w:szCs w:val="20"/>
          <w:lang w:eastAsia="fr-FR"/>
        </w:rPr>
        <w:drawing>
          <wp:anchor distT="0" distB="0" distL="114300" distR="114300" simplePos="0" relativeHeight="251659264" behindDoc="0" locked="0" layoutInCell="1" allowOverlap="1">
            <wp:simplePos x="0" y="0"/>
            <wp:positionH relativeFrom="column">
              <wp:posOffset>-880745</wp:posOffset>
            </wp:positionH>
            <wp:positionV relativeFrom="paragraph">
              <wp:posOffset>-233045</wp:posOffset>
            </wp:positionV>
            <wp:extent cx="2105025" cy="1586230"/>
            <wp:effectExtent l="0" t="0" r="9525" b="0"/>
            <wp:wrapNone/>
            <wp:docPr id="1" name="Image 1" descr="http://www.pellet-blog.it/wp-content/uploads/2014/04/european-pellet-counci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ellet-blog.it/wp-content/uploads/2014/04/european-pellet-council.png"/>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105025" cy="1586230"/>
                    </a:xfrm>
                    <a:prstGeom prst="rect">
                      <a:avLst/>
                    </a:prstGeom>
                    <a:noFill/>
                    <a:ln>
                      <a:noFill/>
                    </a:ln>
                  </pic:spPr>
                </pic:pic>
              </a:graphicData>
            </a:graphic>
          </wp:anchor>
        </w:drawing>
      </w:r>
    </w:p>
    <w:p w:rsidR="002518B6" w:rsidRDefault="002518B6" w:rsidP="002518B6">
      <w:pPr>
        <w:pStyle w:val="Default"/>
      </w:pPr>
    </w:p>
    <w:p w:rsidR="002518B6" w:rsidRDefault="002518B6" w:rsidP="002518B6">
      <w:pPr>
        <w:pStyle w:val="Default"/>
      </w:pPr>
      <w:r>
        <w:tab/>
      </w:r>
      <w:r>
        <w:tab/>
      </w:r>
      <w:r>
        <w:tab/>
      </w:r>
    </w:p>
    <w:p w:rsidR="002518B6" w:rsidRDefault="002518B6" w:rsidP="002518B6">
      <w:pPr>
        <w:pStyle w:val="Default"/>
      </w:pPr>
    </w:p>
    <w:p w:rsidR="002518B6" w:rsidRPr="002518B6" w:rsidRDefault="002518B6" w:rsidP="002518B6">
      <w:pPr>
        <w:pStyle w:val="Default"/>
        <w:jc w:val="center"/>
        <w:rPr>
          <w:rFonts w:asciiTheme="minorHAnsi" w:hAnsiTheme="minorHAnsi"/>
          <w:b/>
          <w:bCs/>
          <w:sz w:val="12"/>
          <w:szCs w:val="12"/>
        </w:rPr>
      </w:pPr>
    </w:p>
    <w:p w:rsidR="002518B6" w:rsidRPr="002518B6" w:rsidRDefault="002518B6" w:rsidP="002518B6">
      <w:pPr>
        <w:pStyle w:val="Default"/>
        <w:jc w:val="center"/>
        <w:rPr>
          <w:rFonts w:asciiTheme="minorHAnsi" w:hAnsiTheme="minorHAnsi"/>
          <w:b/>
          <w:bCs/>
          <w:sz w:val="40"/>
          <w:szCs w:val="40"/>
        </w:rPr>
      </w:pPr>
      <w:r w:rsidRPr="002518B6">
        <w:rPr>
          <w:rFonts w:asciiTheme="minorHAnsi" w:hAnsiTheme="minorHAnsi"/>
          <w:b/>
          <w:bCs/>
          <w:sz w:val="40"/>
          <w:szCs w:val="40"/>
        </w:rPr>
        <w:t xml:space="preserve">Extrait du guide de stockage EPC </w:t>
      </w:r>
    </w:p>
    <w:p w:rsidR="002518B6" w:rsidRPr="002518B6" w:rsidRDefault="002518B6" w:rsidP="002518B6">
      <w:pPr>
        <w:pStyle w:val="Default"/>
        <w:jc w:val="center"/>
        <w:rPr>
          <w:rFonts w:asciiTheme="minorHAnsi" w:hAnsiTheme="minorHAnsi"/>
          <w:sz w:val="12"/>
          <w:szCs w:val="12"/>
        </w:rPr>
      </w:pPr>
    </w:p>
    <w:p w:rsidR="00C81415" w:rsidRPr="002518B6" w:rsidRDefault="002518B6" w:rsidP="002518B6">
      <w:pPr>
        <w:ind w:left="-426"/>
        <w:jc w:val="center"/>
      </w:pPr>
      <w:r w:rsidRPr="002518B6">
        <w:rPr>
          <w:bCs/>
        </w:rPr>
        <w:t>Recommandations sur la conception, l'installation et l'exploitation de silos de granulés destinés au chauffage</w:t>
      </w:r>
    </w:p>
    <w:p w:rsidR="00EF6DC3" w:rsidRDefault="00EF6DC3" w:rsidP="00EF6DC3">
      <w:pPr>
        <w:pStyle w:val="Default"/>
        <w:ind w:left="-426"/>
        <w:jc w:val="center"/>
        <w:rPr>
          <w:rFonts w:ascii="Times New Roman" w:hAnsi="Times New Roman" w:cs="Times New Roman"/>
          <w:sz w:val="22"/>
          <w:szCs w:val="22"/>
        </w:rPr>
      </w:pPr>
      <w:r>
        <w:rPr>
          <w:rFonts w:ascii="Times New Roman" w:hAnsi="Times New Roman" w:cs="Times New Roman"/>
          <w:noProof/>
          <w:sz w:val="22"/>
          <w:szCs w:val="22"/>
          <w:lang w:eastAsia="fr-FR"/>
        </w:rPr>
        <w:drawing>
          <wp:inline distT="0" distB="0" distL="0" distR="0">
            <wp:extent cx="2138541" cy="2590800"/>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138541" cy="2590800"/>
                    </a:xfrm>
                    <a:prstGeom prst="rect">
                      <a:avLst/>
                    </a:prstGeom>
                    <a:noFill/>
                    <a:ln>
                      <a:noFill/>
                    </a:ln>
                  </pic:spPr>
                </pic:pic>
              </a:graphicData>
            </a:graphic>
          </wp:inline>
        </w:drawing>
      </w:r>
      <w:r>
        <w:rPr>
          <w:rFonts w:ascii="Times New Roman" w:hAnsi="Times New Roman" w:cs="Times New Roman"/>
          <w:noProof/>
          <w:sz w:val="22"/>
          <w:szCs w:val="22"/>
          <w:lang w:eastAsia="fr-FR"/>
        </w:rPr>
        <w:drawing>
          <wp:inline distT="0" distB="0" distL="0" distR="0">
            <wp:extent cx="2143125" cy="2596354"/>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143125" cy="2596354"/>
                    </a:xfrm>
                    <a:prstGeom prst="rect">
                      <a:avLst/>
                    </a:prstGeom>
                    <a:noFill/>
                    <a:ln>
                      <a:noFill/>
                    </a:ln>
                  </pic:spPr>
                </pic:pic>
              </a:graphicData>
            </a:graphic>
          </wp:inline>
        </w:drawing>
      </w:r>
    </w:p>
    <w:p w:rsidR="00EF6DC3" w:rsidRDefault="00EF6DC3" w:rsidP="00411DD6">
      <w:pPr>
        <w:pStyle w:val="Default"/>
        <w:ind w:left="-426"/>
        <w:jc w:val="both"/>
        <w:rPr>
          <w:rFonts w:ascii="Times New Roman" w:hAnsi="Times New Roman" w:cs="Times New Roman"/>
          <w:sz w:val="22"/>
          <w:szCs w:val="22"/>
        </w:rPr>
      </w:pPr>
    </w:p>
    <w:p w:rsidR="006963D9" w:rsidRDefault="006963D9" w:rsidP="006963D9">
      <w:pPr>
        <w:pStyle w:val="Default"/>
        <w:ind w:left="-426" w:right="1"/>
        <w:jc w:val="both"/>
        <w:rPr>
          <w:rFonts w:ascii="Times New Roman" w:hAnsi="Times New Roman" w:cs="Times New Roman"/>
          <w:b/>
          <w:bCs/>
          <w:sz w:val="22"/>
          <w:szCs w:val="22"/>
        </w:rPr>
      </w:pPr>
      <w:r w:rsidRPr="002518B6">
        <w:rPr>
          <w:rFonts w:ascii="Times New Roman" w:hAnsi="Times New Roman" w:cs="Times New Roman"/>
          <w:b/>
          <w:bCs/>
          <w:sz w:val="22"/>
          <w:szCs w:val="22"/>
        </w:rPr>
        <w:t>2.</w:t>
      </w:r>
      <w:r>
        <w:rPr>
          <w:rFonts w:ascii="Times New Roman" w:hAnsi="Times New Roman" w:cs="Times New Roman"/>
          <w:b/>
          <w:bCs/>
          <w:sz w:val="22"/>
          <w:szCs w:val="22"/>
        </w:rPr>
        <w:t>2</w:t>
      </w:r>
      <w:r w:rsidRPr="002518B6">
        <w:rPr>
          <w:rFonts w:ascii="Times New Roman" w:hAnsi="Times New Roman" w:cs="Times New Roman"/>
          <w:b/>
          <w:bCs/>
          <w:sz w:val="22"/>
          <w:szCs w:val="22"/>
        </w:rPr>
        <w:t xml:space="preserve">. </w:t>
      </w:r>
      <w:r>
        <w:rPr>
          <w:rFonts w:ascii="Times New Roman" w:hAnsi="Times New Roman" w:cs="Times New Roman"/>
          <w:b/>
          <w:bCs/>
          <w:sz w:val="22"/>
          <w:szCs w:val="22"/>
        </w:rPr>
        <w:t>EN Plus – Qualité de granulé certifiée</w:t>
      </w:r>
    </w:p>
    <w:p w:rsidR="006963D9" w:rsidRDefault="006963D9" w:rsidP="00411DD6">
      <w:pPr>
        <w:pStyle w:val="Default"/>
        <w:ind w:left="-426"/>
        <w:jc w:val="both"/>
        <w:rPr>
          <w:rFonts w:ascii="Times New Roman" w:hAnsi="Times New Roman" w:cs="Times New Roman"/>
          <w:sz w:val="22"/>
          <w:szCs w:val="22"/>
        </w:rPr>
      </w:pPr>
    </w:p>
    <w:p w:rsidR="00411DD6" w:rsidRPr="00411DD6" w:rsidRDefault="00411DD6" w:rsidP="00411DD6">
      <w:pPr>
        <w:pStyle w:val="Default"/>
        <w:ind w:left="-426"/>
        <w:jc w:val="both"/>
        <w:rPr>
          <w:rFonts w:ascii="Times New Roman" w:hAnsi="Times New Roman" w:cs="Times New Roman"/>
          <w:sz w:val="22"/>
          <w:szCs w:val="22"/>
        </w:rPr>
      </w:pPr>
      <w:r w:rsidRPr="00411DD6">
        <w:rPr>
          <w:rFonts w:ascii="Times New Roman" w:hAnsi="Times New Roman" w:cs="Times New Roman"/>
          <w:sz w:val="22"/>
          <w:szCs w:val="22"/>
        </w:rPr>
        <w:t xml:space="preserve">Il est recommandé d'approvisionner des granulés exclusivement auprès de sources certifiées </w:t>
      </w:r>
      <w:proofErr w:type="spellStart"/>
      <w:r w:rsidRPr="00411DD6">
        <w:rPr>
          <w:rFonts w:ascii="Times New Roman" w:hAnsi="Times New Roman" w:cs="Times New Roman"/>
          <w:sz w:val="22"/>
          <w:szCs w:val="22"/>
        </w:rPr>
        <w:t>ENplus</w:t>
      </w:r>
      <w:proofErr w:type="spellEnd"/>
      <w:r w:rsidRPr="00411DD6">
        <w:rPr>
          <w:rFonts w:ascii="Times New Roman" w:hAnsi="Times New Roman" w:cs="Times New Roman"/>
          <w:sz w:val="22"/>
          <w:szCs w:val="22"/>
        </w:rPr>
        <w:t xml:space="preserve">. Contrairement à d'autres certificats, </w:t>
      </w:r>
      <w:proofErr w:type="spellStart"/>
      <w:r w:rsidRPr="00411DD6">
        <w:rPr>
          <w:rFonts w:ascii="Times New Roman" w:hAnsi="Times New Roman" w:cs="Times New Roman"/>
          <w:sz w:val="22"/>
          <w:szCs w:val="22"/>
        </w:rPr>
        <w:t>ENplus</w:t>
      </w:r>
      <w:proofErr w:type="spellEnd"/>
      <w:r w:rsidRPr="00411DD6">
        <w:rPr>
          <w:rFonts w:ascii="Times New Roman" w:hAnsi="Times New Roman" w:cs="Times New Roman"/>
          <w:sz w:val="22"/>
          <w:szCs w:val="22"/>
        </w:rPr>
        <w:t xml:space="preserve"> couvre la totalité de la chaîne d'approvisionnement, y compris la production et la distribution des granulés. </w:t>
      </w:r>
    </w:p>
    <w:p w:rsidR="00411DD6" w:rsidRPr="00411DD6" w:rsidRDefault="00411DD6" w:rsidP="00411DD6">
      <w:pPr>
        <w:pStyle w:val="Default"/>
        <w:ind w:left="-426"/>
        <w:jc w:val="both"/>
        <w:rPr>
          <w:rFonts w:ascii="Times New Roman" w:hAnsi="Times New Roman" w:cs="Times New Roman"/>
          <w:sz w:val="22"/>
          <w:szCs w:val="22"/>
        </w:rPr>
      </w:pPr>
    </w:p>
    <w:p w:rsidR="00C81415" w:rsidRDefault="00411DD6" w:rsidP="00411DD6">
      <w:pPr>
        <w:ind w:left="-426"/>
        <w:jc w:val="both"/>
        <w:rPr>
          <w:rFonts w:ascii="Times New Roman" w:hAnsi="Times New Roman" w:cs="Times New Roman"/>
        </w:rPr>
      </w:pPr>
      <w:r w:rsidRPr="00411DD6">
        <w:rPr>
          <w:rFonts w:ascii="Times New Roman" w:hAnsi="Times New Roman" w:cs="Times New Roman"/>
        </w:rPr>
        <w:t>La norme internationale ISO 17225-2 définit les principales spécifications du produit selon différentes classes de qualité de granulé. Ces classes se distinguent surtout par leur teneur en cendres e</w:t>
      </w:r>
      <w:r>
        <w:rPr>
          <w:rFonts w:ascii="Times New Roman" w:hAnsi="Times New Roman" w:cs="Times New Roman"/>
        </w:rPr>
        <w:t>t par la fusibilité des cendres</w:t>
      </w:r>
      <w:r w:rsidRPr="00411DD6">
        <w:rPr>
          <w:rFonts w:ascii="Times New Roman" w:hAnsi="Times New Roman" w:cs="Times New Roman"/>
        </w:rPr>
        <w:t xml:space="preserve">. Ces deux spécifications tiennent un rôle primordial dans la fiabilité du fonctionnement des poêles et chaudières. La faible teneur en cendres et une température de fusion élevée évitent le frittage des cendres (la formation d'un laitier solide). Le programme de certification </w:t>
      </w:r>
      <w:proofErr w:type="spellStart"/>
      <w:r w:rsidRPr="00411DD6">
        <w:rPr>
          <w:rFonts w:ascii="Times New Roman" w:hAnsi="Times New Roman" w:cs="Times New Roman"/>
        </w:rPr>
        <w:t>ENplus</w:t>
      </w:r>
      <w:proofErr w:type="spellEnd"/>
      <w:r w:rsidRPr="00411DD6">
        <w:rPr>
          <w:rFonts w:ascii="Times New Roman" w:hAnsi="Times New Roman" w:cs="Times New Roman"/>
        </w:rPr>
        <w:t xml:space="preserve"> pose des limites contraignantes en matière de fusibilité des cendres, ce que ne fait pas la norme ISO.</w:t>
      </w:r>
    </w:p>
    <w:p w:rsidR="00EF6DC3" w:rsidRDefault="00EF6DC3" w:rsidP="002518B6">
      <w:pPr>
        <w:pStyle w:val="Default"/>
        <w:ind w:left="-426" w:right="1"/>
        <w:jc w:val="both"/>
        <w:rPr>
          <w:rFonts w:ascii="Times New Roman" w:hAnsi="Times New Roman" w:cs="Times New Roman"/>
          <w:b/>
          <w:bCs/>
          <w:sz w:val="22"/>
          <w:szCs w:val="22"/>
        </w:rPr>
      </w:pPr>
    </w:p>
    <w:p w:rsidR="006963D9" w:rsidRDefault="006963D9" w:rsidP="006963D9">
      <w:pPr>
        <w:pStyle w:val="Default"/>
        <w:ind w:left="-426" w:right="1"/>
        <w:jc w:val="both"/>
        <w:rPr>
          <w:rFonts w:ascii="Times New Roman" w:hAnsi="Times New Roman" w:cs="Times New Roman"/>
          <w:b/>
          <w:bCs/>
          <w:sz w:val="22"/>
          <w:szCs w:val="22"/>
        </w:rPr>
      </w:pPr>
      <w:r w:rsidRPr="002518B6">
        <w:rPr>
          <w:rFonts w:ascii="Times New Roman" w:hAnsi="Times New Roman" w:cs="Times New Roman"/>
          <w:b/>
          <w:bCs/>
          <w:sz w:val="22"/>
          <w:szCs w:val="22"/>
        </w:rPr>
        <w:t>2.</w:t>
      </w:r>
      <w:r>
        <w:rPr>
          <w:rFonts w:ascii="Times New Roman" w:hAnsi="Times New Roman" w:cs="Times New Roman"/>
          <w:b/>
          <w:bCs/>
          <w:sz w:val="22"/>
          <w:szCs w:val="22"/>
        </w:rPr>
        <w:t>3</w:t>
      </w:r>
      <w:r w:rsidRPr="002518B6">
        <w:rPr>
          <w:rFonts w:ascii="Times New Roman" w:hAnsi="Times New Roman" w:cs="Times New Roman"/>
          <w:b/>
          <w:bCs/>
          <w:sz w:val="22"/>
          <w:szCs w:val="22"/>
        </w:rPr>
        <w:t xml:space="preserve">. </w:t>
      </w:r>
      <w:r>
        <w:rPr>
          <w:rFonts w:ascii="Times New Roman" w:hAnsi="Times New Roman" w:cs="Times New Roman"/>
          <w:b/>
          <w:bCs/>
          <w:sz w:val="22"/>
          <w:szCs w:val="22"/>
        </w:rPr>
        <w:t>Livraison de granulé – Aspects qualité et sécurité</w:t>
      </w:r>
    </w:p>
    <w:p w:rsidR="006963D9" w:rsidRDefault="006963D9" w:rsidP="006963D9">
      <w:pPr>
        <w:pStyle w:val="Default"/>
        <w:ind w:left="-426" w:right="1"/>
        <w:jc w:val="both"/>
        <w:rPr>
          <w:rFonts w:ascii="Times New Roman" w:hAnsi="Times New Roman" w:cs="Times New Roman"/>
          <w:b/>
          <w:bCs/>
          <w:sz w:val="22"/>
          <w:szCs w:val="22"/>
        </w:rPr>
      </w:pPr>
    </w:p>
    <w:p w:rsidR="006963D9" w:rsidRDefault="006963D9" w:rsidP="006963D9">
      <w:pPr>
        <w:pStyle w:val="Default"/>
        <w:ind w:left="-426" w:right="1"/>
        <w:jc w:val="both"/>
        <w:rPr>
          <w:rFonts w:ascii="Times New Roman" w:hAnsi="Times New Roman" w:cs="Times New Roman"/>
          <w:b/>
          <w:bCs/>
          <w:sz w:val="22"/>
          <w:szCs w:val="22"/>
        </w:rPr>
      </w:pPr>
      <w:r>
        <w:rPr>
          <w:rFonts w:ascii="Times New Roman" w:hAnsi="Times New Roman" w:cs="Times New Roman"/>
        </w:rPr>
        <w:t>Le client doit couper la chaudière avant la livraison de granulé. Les instructions du fabricant de la chaudière doivent préciser ce délai. Le fournisseur de granulé doit pouvoir vérifier que la chaudière est à l’arrêt. Sinon, le fournisseur de granulé ne peut pas procéder à la livraison, pour des motifs juridiques. Exception : le client confirme par écrit que le fabricant de la chaudière autorise la livraison de granulé sans devoir arrêter la chaudière.</w:t>
      </w:r>
    </w:p>
    <w:p w:rsidR="006963D9" w:rsidRDefault="006963D9" w:rsidP="002518B6">
      <w:pPr>
        <w:pStyle w:val="Default"/>
        <w:ind w:left="-426" w:right="1"/>
        <w:jc w:val="both"/>
        <w:rPr>
          <w:rFonts w:ascii="Times New Roman" w:hAnsi="Times New Roman" w:cs="Times New Roman"/>
          <w:b/>
          <w:bCs/>
          <w:sz w:val="22"/>
          <w:szCs w:val="22"/>
        </w:rPr>
      </w:pPr>
    </w:p>
    <w:p w:rsidR="006963D9" w:rsidRDefault="006963D9" w:rsidP="002518B6">
      <w:pPr>
        <w:pStyle w:val="Default"/>
        <w:ind w:left="-426" w:right="1"/>
        <w:jc w:val="both"/>
        <w:rPr>
          <w:rFonts w:ascii="Times New Roman" w:hAnsi="Times New Roman" w:cs="Times New Roman"/>
          <w:b/>
          <w:bCs/>
          <w:sz w:val="22"/>
          <w:szCs w:val="22"/>
        </w:rPr>
      </w:pPr>
    </w:p>
    <w:p w:rsidR="00411DD6" w:rsidRDefault="00411DD6" w:rsidP="002518B6">
      <w:pPr>
        <w:pStyle w:val="Default"/>
        <w:ind w:left="-426" w:right="1"/>
        <w:jc w:val="both"/>
        <w:rPr>
          <w:rFonts w:ascii="Times New Roman" w:hAnsi="Times New Roman" w:cs="Times New Roman"/>
          <w:b/>
          <w:bCs/>
          <w:sz w:val="22"/>
          <w:szCs w:val="22"/>
        </w:rPr>
      </w:pPr>
      <w:r w:rsidRPr="002518B6">
        <w:rPr>
          <w:rFonts w:ascii="Times New Roman" w:hAnsi="Times New Roman" w:cs="Times New Roman"/>
          <w:b/>
          <w:bCs/>
          <w:sz w:val="22"/>
          <w:szCs w:val="22"/>
        </w:rPr>
        <w:t xml:space="preserve">2.4. Les fines et les matières perturbatrices </w:t>
      </w:r>
    </w:p>
    <w:p w:rsidR="00EF6DC3" w:rsidRDefault="00EF6DC3" w:rsidP="002518B6">
      <w:pPr>
        <w:pStyle w:val="Default"/>
        <w:ind w:left="-426" w:right="1"/>
        <w:jc w:val="both"/>
        <w:rPr>
          <w:rFonts w:ascii="Times New Roman" w:hAnsi="Times New Roman" w:cs="Times New Roman"/>
          <w:b/>
          <w:bCs/>
          <w:sz w:val="22"/>
          <w:szCs w:val="22"/>
        </w:rPr>
      </w:pPr>
    </w:p>
    <w:p w:rsidR="006963D9" w:rsidRDefault="006963D9" w:rsidP="006963D9">
      <w:pPr>
        <w:pStyle w:val="Default"/>
        <w:ind w:left="-426" w:right="1"/>
        <w:jc w:val="both"/>
        <w:rPr>
          <w:rFonts w:ascii="Times New Roman" w:hAnsi="Times New Roman" w:cs="Times New Roman"/>
          <w:sz w:val="22"/>
          <w:szCs w:val="22"/>
        </w:rPr>
      </w:pPr>
      <w:r w:rsidRPr="002518B6">
        <w:rPr>
          <w:rFonts w:ascii="Times New Roman" w:hAnsi="Times New Roman" w:cs="Times New Roman"/>
          <w:sz w:val="22"/>
          <w:szCs w:val="22"/>
        </w:rPr>
        <w:t xml:space="preserve">Les fines désignent les fragments de granulés brisés qui passent à travers un tamis dont le diamètre des mailles mesure 3,15 mm. Une proportion élevée de matières fines risque de causer des problèmes dans la chaudière ou dans le système de prélèvement du granulé. </w:t>
      </w:r>
    </w:p>
    <w:p w:rsidR="006963D9" w:rsidRPr="002518B6" w:rsidRDefault="006963D9" w:rsidP="006963D9">
      <w:pPr>
        <w:pStyle w:val="Default"/>
        <w:ind w:left="-426" w:right="1"/>
        <w:jc w:val="both"/>
        <w:rPr>
          <w:rFonts w:ascii="Times New Roman" w:hAnsi="Times New Roman" w:cs="Times New Roman"/>
          <w:sz w:val="22"/>
          <w:szCs w:val="22"/>
        </w:rPr>
      </w:pPr>
    </w:p>
    <w:p w:rsidR="006963D9" w:rsidRPr="006963D9" w:rsidRDefault="006963D9" w:rsidP="006963D9">
      <w:pPr>
        <w:ind w:left="-426" w:right="1"/>
        <w:jc w:val="both"/>
        <w:rPr>
          <w:rFonts w:ascii="Times New Roman" w:hAnsi="Times New Roman" w:cs="Times New Roman"/>
        </w:rPr>
      </w:pPr>
      <w:r w:rsidRPr="006963D9">
        <w:rPr>
          <w:rFonts w:ascii="Times New Roman" w:hAnsi="Times New Roman" w:cs="Times New Roman"/>
        </w:rPr>
        <w:t>Les fines dans le silo de granulé proviennent essentiellement de la contrainte mécanique que subit le granulé pendant sa livraison. Les coudes des tuyaux, les tapis d'impact inappropriés, les obstacles sur le passage du granulé, une vitesse élevée et un faible facteur de charge solide pendant la livraison augmentent la part de matières fines.</w:t>
      </w:r>
    </w:p>
    <w:p w:rsidR="006963D9" w:rsidRDefault="006963D9" w:rsidP="002518B6">
      <w:pPr>
        <w:pStyle w:val="Default"/>
        <w:ind w:left="-426" w:right="1"/>
        <w:jc w:val="both"/>
        <w:rPr>
          <w:rFonts w:ascii="Times New Roman" w:hAnsi="Times New Roman" w:cs="Times New Roman"/>
          <w:b/>
          <w:bCs/>
          <w:sz w:val="22"/>
          <w:szCs w:val="22"/>
        </w:rPr>
      </w:pPr>
    </w:p>
    <w:p w:rsidR="006963D9" w:rsidRDefault="006963D9" w:rsidP="002518B6">
      <w:pPr>
        <w:pStyle w:val="Default"/>
        <w:ind w:left="-426" w:right="1"/>
        <w:jc w:val="both"/>
        <w:rPr>
          <w:rFonts w:ascii="Times New Roman" w:hAnsi="Times New Roman" w:cs="Times New Roman"/>
          <w:b/>
          <w:bCs/>
          <w:sz w:val="22"/>
          <w:szCs w:val="22"/>
        </w:rPr>
      </w:pPr>
    </w:p>
    <w:p w:rsidR="007B4B8B" w:rsidRDefault="007B4B8B" w:rsidP="002518B6">
      <w:pPr>
        <w:pStyle w:val="Default"/>
        <w:ind w:left="-426" w:right="1"/>
        <w:jc w:val="both"/>
        <w:rPr>
          <w:rFonts w:ascii="Times New Roman" w:hAnsi="Times New Roman" w:cs="Times New Roman"/>
          <w:b/>
          <w:bCs/>
          <w:sz w:val="22"/>
          <w:szCs w:val="22"/>
        </w:rPr>
      </w:pPr>
    </w:p>
    <w:p w:rsidR="006963D9" w:rsidRDefault="006963D9" w:rsidP="002518B6">
      <w:pPr>
        <w:pStyle w:val="Default"/>
        <w:ind w:left="-426" w:right="1"/>
        <w:jc w:val="both"/>
        <w:rPr>
          <w:rFonts w:ascii="Times New Roman" w:hAnsi="Times New Roman" w:cs="Times New Roman"/>
          <w:b/>
          <w:bCs/>
          <w:sz w:val="22"/>
          <w:szCs w:val="22"/>
        </w:rPr>
      </w:pPr>
    </w:p>
    <w:p w:rsidR="006963D9" w:rsidRDefault="006963D9" w:rsidP="006963D9">
      <w:pPr>
        <w:pStyle w:val="Default"/>
        <w:ind w:left="-426" w:right="1"/>
        <w:jc w:val="both"/>
        <w:rPr>
          <w:rFonts w:ascii="Times New Roman" w:hAnsi="Times New Roman" w:cs="Times New Roman"/>
          <w:sz w:val="22"/>
          <w:szCs w:val="22"/>
        </w:rPr>
      </w:pPr>
      <w:r w:rsidRPr="002518B6">
        <w:rPr>
          <w:rFonts w:ascii="Times New Roman" w:hAnsi="Times New Roman" w:cs="Times New Roman"/>
          <w:sz w:val="22"/>
          <w:szCs w:val="22"/>
        </w:rPr>
        <w:t>Un taux de fines élevé au niveau de la chaudière peut également provenir de dommages créés par le système de prélèvement du granulé entre le silo et la chaudière. Le processus de séparation des particules dans le silo concentre les matières fines au fond du silo à granulés, au fil du temps (Figure1). Pour garantir le bon fonctionnement de la chaudière, il est recommandé de vider entièrement le silo et de le nettoyer au moins une fois tous les deux ans. Mieux vaut y procéder en été.</w:t>
      </w:r>
    </w:p>
    <w:p w:rsidR="006963D9" w:rsidRPr="002518B6" w:rsidRDefault="006963D9" w:rsidP="006963D9">
      <w:pPr>
        <w:pStyle w:val="Default"/>
        <w:ind w:left="-426" w:right="1"/>
        <w:jc w:val="both"/>
        <w:rPr>
          <w:rFonts w:ascii="Times New Roman" w:hAnsi="Times New Roman" w:cs="Times New Roman"/>
          <w:sz w:val="22"/>
          <w:szCs w:val="22"/>
        </w:rPr>
      </w:pPr>
    </w:p>
    <w:p w:rsidR="006963D9" w:rsidRPr="002518B6" w:rsidRDefault="006963D9" w:rsidP="006963D9">
      <w:pPr>
        <w:pStyle w:val="Default"/>
        <w:ind w:left="-426" w:right="1"/>
        <w:jc w:val="both"/>
        <w:rPr>
          <w:rFonts w:ascii="Times New Roman" w:hAnsi="Times New Roman" w:cs="Times New Roman"/>
          <w:sz w:val="22"/>
          <w:szCs w:val="22"/>
        </w:rPr>
      </w:pPr>
      <w:r w:rsidRPr="002518B6">
        <w:rPr>
          <w:rFonts w:ascii="Times New Roman" w:hAnsi="Times New Roman" w:cs="Times New Roman"/>
          <w:sz w:val="22"/>
          <w:szCs w:val="22"/>
        </w:rPr>
        <w:t xml:space="preserve">Les fournisseurs certifiés </w:t>
      </w:r>
      <w:proofErr w:type="spellStart"/>
      <w:r w:rsidRPr="002518B6">
        <w:rPr>
          <w:rFonts w:ascii="Times New Roman" w:hAnsi="Times New Roman" w:cs="Times New Roman"/>
          <w:sz w:val="22"/>
          <w:szCs w:val="22"/>
        </w:rPr>
        <w:t>ENplus</w:t>
      </w:r>
      <w:proofErr w:type="spellEnd"/>
      <w:r w:rsidRPr="002518B6">
        <w:rPr>
          <w:rFonts w:ascii="Times New Roman" w:hAnsi="Times New Roman" w:cs="Times New Roman"/>
          <w:sz w:val="22"/>
          <w:szCs w:val="22"/>
        </w:rPr>
        <w:t xml:space="preserve"> acceptent les réclamations pour un taux de matières fines dépassant 4% dans le silo aux conditions suivantes: </w:t>
      </w:r>
    </w:p>
    <w:p w:rsidR="006963D9" w:rsidRPr="002518B6" w:rsidRDefault="006963D9" w:rsidP="006963D9">
      <w:pPr>
        <w:pStyle w:val="Default"/>
        <w:numPr>
          <w:ilvl w:val="0"/>
          <w:numId w:val="1"/>
        </w:numPr>
        <w:spacing w:after="68"/>
        <w:ind w:right="1"/>
        <w:jc w:val="both"/>
        <w:rPr>
          <w:rFonts w:ascii="Times New Roman" w:hAnsi="Times New Roman" w:cs="Times New Roman"/>
          <w:sz w:val="22"/>
          <w:szCs w:val="22"/>
        </w:rPr>
      </w:pPr>
      <w:r w:rsidRPr="002518B6">
        <w:rPr>
          <w:rFonts w:ascii="Times New Roman" w:hAnsi="Times New Roman" w:cs="Times New Roman"/>
          <w:sz w:val="22"/>
          <w:szCs w:val="22"/>
        </w:rPr>
        <w:t xml:space="preserve">Distance de soufflage (conduite de remplissage comprise) &lt; 30 m </w:t>
      </w:r>
    </w:p>
    <w:p w:rsidR="006963D9" w:rsidRPr="002518B6" w:rsidRDefault="006963D9" w:rsidP="006963D9">
      <w:pPr>
        <w:pStyle w:val="Default"/>
        <w:numPr>
          <w:ilvl w:val="0"/>
          <w:numId w:val="1"/>
        </w:numPr>
        <w:spacing w:after="68"/>
        <w:ind w:right="1"/>
        <w:jc w:val="both"/>
        <w:rPr>
          <w:rFonts w:ascii="Times New Roman" w:hAnsi="Times New Roman" w:cs="Times New Roman"/>
          <w:sz w:val="22"/>
          <w:szCs w:val="22"/>
        </w:rPr>
      </w:pPr>
      <w:r w:rsidRPr="002518B6">
        <w:rPr>
          <w:rFonts w:ascii="Times New Roman" w:hAnsi="Times New Roman" w:cs="Times New Roman"/>
          <w:sz w:val="22"/>
          <w:szCs w:val="22"/>
        </w:rPr>
        <w:t xml:space="preserve">Conformité au guide du stockage </w:t>
      </w:r>
      <w:r>
        <w:rPr>
          <w:rFonts w:ascii="Times New Roman" w:hAnsi="Times New Roman" w:cs="Times New Roman"/>
          <w:sz w:val="22"/>
          <w:szCs w:val="22"/>
        </w:rPr>
        <w:t>EPC (</w:t>
      </w:r>
      <w:proofErr w:type="spellStart"/>
      <w:r>
        <w:rPr>
          <w:rFonts w:ascii="Times New Roman" w:hAnsi="Times New Roman" w:cs="Times New Roman"/>
          <w:sz w:val="22"/>
          <w:szCs w:val="22"/>
        </w:rPr>
        <w:t>European</w:t>
      </w:r>
      <w:proofErr w:type="spellEnd"/>
      <w:r>
        <w:rPr>
          <w:rFonts w:ascii="Times New Roman" w:hAnsi="Times New Roman" w:cs="Times New Roman"/>
          <w:sz w:val="22"/>
          <w:szCs w:val="22"/>
        </w:rPr>
        <w:t xml:space="preserve"> Pellet Council).</w:t>
      </w:r>
    </w:p>
    <w:p w:rsidR="006963D9" w:rsidRPr="002518B6" w:rsidRDefault="006963D9" w:rsidP="006963D9">
      <w:pPr>
        <w:pStyle w:val="Default"/>
        <w:numPr>
          <w:ilvl w:val="0"/>
          <w:numId w:val="1"/>
        </w:numPr>
        <w:spacing w:after="68"/>
        <w:ind w:right="1"/>
        <w:jc w:val="both"/>
        <w:rPr>
          <w:rFonts w:ascii="Times New Roman" w:hAnsi="Times New Roman" w:cs="Times New Roman"/>
          <w:sz w:val="22"/>
          <w:szCs w:val="22"/>
        </w:rPr>
      </w:pPr>
      <w:r w:rsidRPr="002518B6">
        <w:rPr>
          <w:rFonts w:ascii="Times New Roman" w:hAnsi="Times New Roman" w:cs="Times New Roman"/>
          <w:sz w:val="22"/>
          <w:szCs w:val="22"/>
        </w:rPr>
        <w:t xml:space="preserve">La quantité de granulés résiduels avant la livraison était inférieure à 10% de la capacité de stockage </w:t>
      </w:r>
    </w:p>
    <w:p w:rsidR="006963D9" w:rsidRPr="002518B6" w:rsidRDefault="006963D9" w:rsidP="006963D9">
      <w:pPr>
        <w:pStyle w:val="Default"/>
        <w:numPr>
          <w:ilvl w:val="0"/>
          <w:numId w:val="1"/>
        </w:numPr>
        <w:spacing w:after="68"/>
        <w:ind w:right="1"/>
        <w:jc w:val="both"/>
        <w:rPr>
          <w:rFonts w:ascii="Times New Roman" w:hAnsi="Times New Roman" w:cs="Times New Roman"/>
          <w:sz w:val="22"/>
          <w:szCs w:val="22"/>
        </w:rPr>
      </w:pPr>
      <w:r w:rsidRPr="002518B6">
        <w:rPr>
          <w:rFonts w:ascii="Times New Roman" w:hAnsi="Times New Roman" w:cs="Times New Roman"/>
          <w:sz w:val="22"/>
          <w:szCs w:val="22"/>
        </w:rPr>
        <w:t xml:space="preserve">20% de la nouvelle livraison ont été utilisés, au maximum </w:t>
      </w:r>
    </w:p>
    <w:p w:rsidR="006963D9" w:rsidRDefault="006963D9" w:rsidP="006963D9">
      <w:pPr>
        <w:pStyle w:val="Default"/>
        <w:numPr>
          <w:ilvl w:val="0"/>
          <w:numId w:val="1"/>
        </w:numPr>
        <w:ind w:right="1"/>
        <w:jc w:val="both"/>
        <w:rPr>
          <w:rFonts w:ascii="Times New Roman" w:hAnsi="Times New Roman" w:cs="Times New Roman"/>
          <w:sz w:val="22"/>
          <w:szCs w:val="22"/>
        </w:rPr>
      </w:pPr>
      <w:r w:rsidRPr="002518B6">
        <w:rPr>
          <w:rFonts w:ascii="Times New Roman" w:hAnsi="Times New Roman" w:cs="Times New Roman"/>
          <w:sz w:val="22"/>
          <w:szCs w:val="22"/>
        </w:rPr>
        <w:t xml:space="preserve">La fréquence du nettoyage des silos varie selon la consommation annuelle. </w:t>
      </w:r>
    </w:p>
    <w:p w:rsidR="006963D9" w:rsidRDefault="006963D9" w:rsidP="006963D9">
      <w:pPr>
        <w:pStyle w:val="Default"/>
        <w:ind w:left="-66" w:right="1"/>
        <w:jc w:val="both"/>
        <w:rPr>
          <w:rFonts w:ascii="Times New Roman" w:hAnsi="Times New Roman" w:cs="Times New Roman"/>
          <w:sz w:val="22"/>
          <w:szCs w:val="22"/>
        </w:rPr>
      </w:pPr>
    </w:p>
    <w:p w:rsidR="006963D9" w:rsidRPr="006963D9" w:rsidRDefault="006963D9" w:rsidP="006963D9">
      <w:pPr>
        <w:pStyle w:val="Default"/>
        <w:ind w:left="-426" w:right="1"/>
        <w:jc w:val="both"/>
        <w:rPr>
          <w:rFonts w:ascii="Times New Roman" w:hAnsi="Times New Roman" w:cs="Times New Roman"/>
          <w:color w:val="auto"/>
          <w:sz w:val="22"/>
          <w:szCs w:val="22"/>
        </w:rPr>
      </w:pPr>
      <w:r w:rsidRPr="006963D9">
        <w:rPr>
          <w:rFonts w:ascii="Times New Roman" w:hAnsi="Times New Roman" w:cs="Times New Roman"/>
          <w:color w:val="auto"/>
          <w:sz w:val="22"/>
          <w:szCs w:val="22"/>
        </w:rPr>
        <w:t xml:space="preserve">Les silos dont la </w:t>
      </w:r>
      <w:r w:rsidRPr="006963D9">
        <w:rPr>
          <w:rFonts w:ascii="Times New Roman" w:hAnsi="Times New Roman" w:cs="Times New Roman"/>
          <w:b/>
          <w:color w:val="auto"/>
          <w:sz w:val="22"/>
          <w:szCs w:val="22"/>
        </w:rPr>
        <w:t>consommation annuelle est ≤ 15 tonnes</w:t>
      </w:r>
      <w:r w:rsidRPr="006963D9">
        <w:rPr>
          <w:rFonts w:ascii="Times New Roman" w:hAnsi="Times New Roman" w:cs="Times New Roman"/>
          <w:color w:val="auto"/>
          <w:sz w:val="22"/>
          <w:szCs w:val="22"/>
        </w:rPr>
        <w:t xml:space="preserve"> doivent être nettoyés </w:t>
      </w:r>
      <w:r w:rsidRPr="006963D9">
        <w:rPr>
          <w:rFonts w:ascii="Times New Roman" w:hAnsi="Times New Roman" w:cs="Times New Roman"/>
          <w:b/>
          <w:color w:val="auto"/>
          <w:sz w:val="22"/>
          <w:szCs w:val="22"/>
        </w:rPr>
        <w:t>une fois tous les deux ans.</w:t>
      </w:r>
    </w:p>
    <w:p w:rsidR="006963D9" w:rsidRPr="002518B6" w:rsidRDefault="006963D9" w:rsidP="006963D9">
      <w:pPr>
        <w:pStyle w:val="Default"/>
        <w:ind w:left="-426" w:right="1"/>
        <w:jc w:val="both"/>
        <w:rPr>
          <w:rFonts w:ascii="Times New Roman" w:hAnsi="Times New Roman" w:cs="Times New Roman"/>
          <w:sz w:val="22"/>
          <w:szCs w:val="22"/>
        </w:rPr>
      </w:pPr>
      <w:r w:rsidRPr="006963D9">
        <w:rPr>
          <w:rFonts w:ascii="Times New Roman" w:hAnsi="Times New Roman" w:cs="Times New Roman"/>
          <w:color w:val="auto"/>
          <w:sz w:val="22"/>
          <w:szCs w:val="22"/>
        </w:rPr>
        <w:t xml:space="preserve">Les silos dont la </w:t>
      </w:r>
      <w:r w:rsidRPr="006963D9">
        <w:rPr>
          <w:rFonts w:ascii="Times New Roman" w:hAnsi="Times New Roman" w:cs="Times New Roman"/>
          <w:b/>
          <w:color w:val="auto"/>
          <w:sz w:val="22"/>
          <w:szCs w:val="22"/>
        </w:rPr>
        <w:t>consommation annuelle est &gt; 15 tonnes</w:t>
      </w:r>
      <w:r w:rsidRPr="006963D9">
        <w:rPr>
          <w:rFonts w:ascii="Times New Roman" w:hAnsi="Times New Roman" w:cs="Times New Roman"/>
          <w:color w:val="auto"/>
          <w:sz w:val="22"/>
          <w:szCs w:val="22"/>
        </w:rPr>
        <w:t xml:space="preserve"> doivent être nettoyés </w:t>
      </w:r>
      <w:r w:rsidRPr="006963D9">
        <w:rPr>
          <w:rFonts w:ascii="Times New Roman" w:hAnsi="Times New Roman" w:cs="Times New Roman"/>
          <w:b/>
          <w:color w:val="auto"/>
          <w:sz w:val="22"/>
          <w:szCs w:val="22"/>
        </w:rPr>
        <w:t>au moins une fois par an</w:t>
      </w:r>
      <w:r w:rsidRPr="006963D9">
        <w:rPr>
          <w:rFonts w:ascii="Times New Roman" w:hAnsi="Times New Roman" w:cs="Times New Roman"/>
          <w:color w:val="auto"/>
          <w:sz w:val="22"/>
          <w:szCs w:val="22"/>
        </w:rPr>
        <w:t>.</w:t>
      </w:r>
      <w:r w:rsidRPr="00B60229">
        <w:rPr>
          <w:rFonts w:ascii="Times New Roman" w:hAnsi="Times New Roman" w:cs="Times New Roman"/>
          <w:color w:val="FF0000"/>
          <w:sz w:val="22"/>
          <w:szCs w:val="22"/>
        </w:rPr>
        <w:t xml:space="preserve"> </w:t>
      </w:r>
      <w:r w:rsidRPr="002518B6">
        <w:rPr>
          <w:rFonts w:ascii="Times New Roman" w:hAnsi="Times New Roman" w:cs="Times New Roman"/>
          <w:sz w:val="22"/>
          <w:szCs w:val="22"/>
        </w:rPr>
        <w:t>Pénétrer dans un silo (tout local de stockage) expose toujours à un risque grave. Il convient donc de réduire le nombre d'interventions et de respecter scrupuleusement les règles de sécu</w:t>
      </w:r>
      <w:r>
        <w:rPr>
          <w:rFonts w:ascii="Times New Roman" w:hAnsi="Times New Roman" w:cs="Times New Roman"/>
          <w:sz w:val="22"/>
          <w:szCs w:val="22"/>
        </w:rPr>
        <w:t>rité</w:t>
      </w:r>
      <w:r w:rsidRPr="002518B6">
        <w:rPr>
          <w:rFonts w:ascii="Times New Roman" w:hAnsi="Times New Roman" w:cs="Times New Roman"/>
          <w:sz w:val="22"/>
          <w:szCs w:val="22"/>
        </w:rPr>
        <w:t xml:space="preserve">. </w:t>
      </w:r>
    </w:p>
    <w:p w:rsidR="006963D9" w:rsidRDefault="006963D9" w:rsidP="002518B6">
      <w:pPr>
        <w:pStyle w:val="Default"/>
        <w:ind w:left="-426" w:right="1"/>
        <w:jc w:val="both"/>
        <w:rPr>
          <w:rFonts w:ascii="Times New Roman" w:hAnsi="Times New Roman" w:cs="Times New Roman"/>
          <w:b/>
          <w:bCs/>
          <w:sz w:val="22"/>
          <w:szCs w:val="22"/>
        </w:rPr>
      </w:pPr>
    </w:p>
    <w:p w:rsidR="006963D9" w:rsidRDefault="006963D9" w:rsidP="002518B6">
      <w:pPr>
        <w:pStyle w:val="Default"/>
        <w:ind w:left="-426" w:right="1"/>
        <w:jc w:val="both"/>
        <w:rPr>
          <w:rFonts w:ascii="Times New Roman" w:hAnsi="Times New Roman" w:cs="Times New Roman"/>
          <w:b/>
          <w:bCs/>
          <w:sz w:val="22"/>
          <w:szCs w:val="22"/>
        </w:rPr>
      </w:pPr>
    </w:p>
    <w:p w:rsidR="00EF6DC3" w:rsidRDefault="00EF6DC3" w:rsidP="00EF6DC3">
      <w:pPr>
        <w:pStyle w:val="Default"/>
        <w:ind w:left="-426" w:right="1"/>
        <w:jc w:val="center"/>
        <w:rPr>
          <w:rFonts w:ascii="Times New Roman" w:hAnsi="Times New Roman" w:cs="Times New Roman"/>
          <w:b/>
          <w:bCs/>
          <w:sz w:val="22"/>
          <w:szCs w:val="22"/>
        </w:rPr>
      </w:pPr>
      <w:r>
        <w:rPr>
          <w:rFonts w:ascii="Times New Roman" w:hAnsi="Times New Roman" w:cs="Times New Roman"/>
          <w:noProof/>
          <w:lang w:eastAsia="fr-FR"/>
        </w:rPr>
        <w:drawing>
          <wp:inline distT="0" distB="0" distL="0" distR="0">
            <wp:extent cx="3973886" cy="2781300"/>
            <wp:effectExtent l="0" t="0" r="762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976533" cy="2783153"/>
                    </a:xfrm>
                    <a:prstGeom prst="rect">
                      <a:avLst/>
                    </a:prstGeom>
                    <a:noFill/>
                    <a:ln>
                      <a:noFill/>
                    </a:ln>
                  </pic:spPr>
                </pic:pic>
              </a:graphicData>
            </a:graphic>
          </wp:inline>
        </w:drawing>
      </w:r>
    </w:p>
    <w:p w:rsidR="00EF6DC3" w:rsidRDefault="00EF6DC3" w:rsidP="00EF6DC3">
      <w:pPr>
        <w:pStyle w:val="Default"/>
        <w:ind w:left="-426" w:right="1"/>
        <w:jc w:val="center"/>
        <w:rPr>
          <w:rFonts w:ascii="Times New Roman" w:hAnsi="Times New Roman" w:cs="Times New Roman"/>
          <w:b/>
          <w:bCs/>
          <w:sz w:val="22"/>
          <w:szCs w:val="22"/>
        </w:rPr>
      </w:pPr>
    </w:p>
    <w:p w:rsidR="00EF6DC3" w:rsidRDefault="00EF6DC3" w:rsidP="00EF6DC3">
      <w:pPr>
        <w:pStyle w:val="Default"/>
        <w:ind w:left="-426" w:right="1"/>
        <w:rPr>
          <w:rFonts w:ascii="Times New Roman" w:hAnsi="Times New Roman" w:cs="Times New Roman"/>
          <w:b/>
          <w:bCs/>
          <w:sz w:val="20"/>
          <w:szCs w:val="20"/>
        </w:rPr>
      </w:pPr>
      <w:r w:rsidRPr="002518B6">
        <w:rPr>
          <w:rFonts w:ascii="Times New Roman" w:hAnsi="Times New Roman" w:cs="Times New Roman"/>
          <w:b/>
          <w:bCs/>
          <w:sz w:val="20"/>
          <w:szCs w:val="20"/>
        </w:rPr>
        <w:t>Figure1</w:t>
      </w:r>
      <w:r>
        <w:rPr>
          <w:rFonts w:ascii="Times New Roman" w:hAnsi="Times New Roman" w:cs="Times New Roman"/>
          <w:b/>
          <w:bCs/>
          <w:sz w:val="20"/>
          <w:szCs w:val="20"/>
        </w:rPr>
        <w:t> :</w:t>
      </w:r>
      <w:r w:rsidRPr="00AD2CE9">
        <w:rPr>
          <w:rFonts w:ascii="Times New Roman" w:hAnsi="Times New Roman" w:cs="Times New Roman"/>
          <w:bCs/>
          <w:sz w:val="20"/>
          <w:szCs w:val="20"/>
        </w:rPr>
        <w:t xml:space="preserve"> Illustration de la séparation des particules qui augmente le taux de matières fines dans la partie inférieure d'un silo à pans inclinés </w:t>
      </w:r>
    </w:p>
    <w:p w:rsidR="00EF6DC3" w:rsidRDefault="00EF6DC3" w:rsidP="002518B6">
      <w:pPr>
        <w:pStyle w:val="Default"/>
        <w:ind w:left="-426" w:right="1"/>
        <w:jc w:val="both"/>
        <w:rPr>
          <w:rFonts w:ascii="Times New Roman" w:hAnsi="Times New Roman" w:cs="Times New Roman"/>
          <w:b/>
          <w:bCs/>
          <w:sz w:val="22"/>
          <w:szCs w:val="22"/>
        </w:rPr>
      </w:pPr>
    </w:p>
    <w:p w:rsidR="00AD2CE9" w:rsidRPr="002518B6" w:rsidRDefault="00AD2CE9" w:rsidP="00411DD6">
      <w:pPr>
        <w:pStyle w:val="Default"/>
        <w:ind w:left="-426" w:right="1"/>
        <w:rPr>
          <w:rFonts w:ascii="Times New Roman" w:hAnsi="Times New Roman" w:cs="Times New Roman"/>
          <w:sz w:val="20"/>
          <w:szCs w:val="20"/>
        </w:rPr>
      </w:pPr>
    </w:p>
    <w:p w:rsidR="00411DD6" w:rsidRPr="007B4B8B" w:rsidRDefault="00EF6DC3" w:rsidP="007B4B8B">
      <w:pPr>
        <w:ind w:left="-426" w:right="1"/>
        <w:jc w:val="both"/>
        <w:rPr>
          <w:noProof/>
          <w:lang w:eastAsia="fr-FR"/>
        </w:rPr>
      </w:pPr>
      <w:r>
        <w:rPr>
          <w:noProof/>
          <w:lang w:eastAsia="fr-FR"/>
        </w:rPr>
        <w:drawing>
          <wp:anchor distT="0" distB="0" distL="114300" distR="114300" simplePos="0" relativeHeight="251663360" behindDoc="0" locked="0" layoutInCell="1" allowOverlap="1">
            <wp:simplePos x="0" y="0"/>
            <wp:positionH relativeFrom="column">
              <wp:posOffset>5511800</wp:posOffset>
            </wp:positionH>
            <wp:positionV relativeFrom="paragraph">
              <wp:posOffset>3866515</wp:posOffset>
            </wp:positionV>
            <wp:extent cx="857250" cy="829945"/>
            <wp:effectExtent l="0" t="0" r="0" b="8255"/>
            <wp:wrapNone/>
            <wp:docPr id="8" name="Image 8" descr="O:\Logo\EN PLU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Logo\EN PLUS.png"/>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57250" cy="829945"/>
                    </a:xfrm>
                    <a:prstGeom prst="rect">
                      <a:avLst/>
                    </a:prstGeom>
                    <a:noFill/>
                    <a:ln>
                      <a:noFill/>
                    </a:ln>
                  </pic:spPr>
                </pic:pic>
              </a:graphicData>
            </a:graphic>
          </wp:anchor>
        </w:drawing>
      </w:r>
      <w:r>
        <w:rPr>
          <w:rFonts w:ascii="Arial" w:hAnsi="Arial" w:cs="Arial"/>
          <w:noProof/>
          <w:sz w:val="20"/>
          <w:szCs w:val="20"/>
          <w:lang w:eastAsia="fr-FR"/>
        </w:rPr>
        <w:drawing>
          <wp:anchor distT="0" distB="0" distL="114300" distR="114300" simplePos="0" relativeHeight="251661312" behindDoc="0" locked="0" layoutInCell="1" allowOverlap="1">
            <wp:simplePos x="0" y="0"/>
            <wp:positionH relativeFrom="column">
              <wp:posOffset>-880745</wp:posOffset>
            </wp:positionH>
            <wp:positionV relativeFrom="paragraph">
              <wp:posOffset>3466465</wp:posOffset>
            </wp:positionV>
            <wp:extent cx="2105025" cy="1586230"/>
            <wp:effectExtent l="0" t="0" r="9525" b="0"/>
            <wp:wrapNone/>
            <wp:docPr id="7" name="Image 7" descr="http://www.pellet-blog.it/wp-content/uploads/2014/04/european-pellet-counci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ellet-blog.it/wp-content/uploads/2014/04/european-pellet-council.png"/>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105025" cy="1586230"/>
                    </a:xfrm>
                    <a:prstGeom prst="rect">
                      <a:avLst/>
                    </a:prstGeom>
                    <a:noFill/>
                    <a:ln>
                      <a:noFill/>
                    </a:ln>
                  </pic:spPr>
                </pic:pic>
              </a:graphicData>
            </a:graphic>
          </wp:anchor>
        </w:drawing>
      </w:r>
      <w:r w:rsidR="00411DD6" w:rsidRPr="002518B6">
        <w:rPr>
          <w:rFonts w:ascii="Times New Roman" w:hAnsi="Times New Roman" w:cs="Times New Roman"/>
        </w:rPr>
        <w:t xml:space="preserve">N.B. La séparation des particules survient pendant la livraison. Les résultats sont également visibles lorsque la surface d'une paroi de silo inclinée apparaît poussiéreuse. </w:t>
      </w:r>
      <w:r w:rsidR="00411DD6" w:rsidRPr="002518B6">
        <w:rPr>
          <w:rFonts w:ascii="Times New Roman" w:hAnsi="Times New Roman" w:cs="Times New Roman"/>
          <w:b/>
          <w:bCs/>
        </w:rPr>
        <w:t>L'aspect poussiéreux d'une surface ne signifie pas q</w:t>
      </w:r>
      <w:r w:rsidR="007B4B8B" w:rsidRPr="007B4B8B">
        <w:rPr>
          <w:rFonts w:ascii="Times New Roman" w:hAnsi="Times New Roman" w:cs="Times New Roman"/>
          <w:b/>
          <w:bCs/>
        </w:rPr>
        <w:drawing>
          <wp:anchor distT="0" distB="0" distL="114300" distR="114300" simplePos="0" relativeHeight="251665408" behindDoc="0" locked="0" layoutInCell="1" allowOverlap="1">
            <wp:simplePos x="0" y="0"/>
            <wp:positionH relativeFrom="column">
              <wp:posOffset>-880745</wp:posOffset>
            </wp:positionH>
            <wp:positionV relativeFrom="paragraph">
              <wp:posOffset>1570990</wp:posOffset>
            </wp:positionV>
            <wp:extent cx="2105025" cy="1590675"/>
            <wp:effectExtent l="0" t="0" r="9525" b="0"/>
            <wp:wrapNone/>
            <wp:docPr id="3" name="Image 7" descr="http://www.pellet-blog.it/wp-content/uploads/2014/04/european-pellet-counci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ellet-blog.it/wp-content/uploads/2014/04/european-pellet-council.png"/>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105025" cy="1586230"/>
                    </a:xfrm>
                    <a:prstGeom prst="rect">
                      <a:avLst/>
                    </a:prstGeom>
                    <a:noFill/>
                    <a:ln>
                      <a:noFill/>
                    </a:ln>
                  </pic:spPr>
                </pic:pic>
              </a:graphicData>
            </a:graphic>
          </wp:anchor>
        </w:drawing>
      </w:r>
      <w:r w:rsidR="00411DD6" w:rsidRPr="002518B6">
        <w:rPr>
          <w:rFonts w:ascii="Times New Roman" w:hAnsi="Times New Roman" w:cs="Times New Roman"/>
          <w:b/>
          <w:bCs/>
        </w:rPr>
        <w:t xml:space="preserve">ue les granulés sortent des spécifications </w:t>
      </w:r>
      <w:proofErr w:type="spellStart"/>
      <w:r w:rsidR="00411DD6" w:rsidRPr="002518B6">
        <w:rPr>
          <w:rFonts w:ascii="Times New Roman" w:hAnsi="Times New Roman" w:cs="Times New Roman"/>
          <w:b/>
          <w:bCs/>
        </w:rPr>
        <w:t>ENplus</w:t>
      </w:r>
      <w:proofErr w:type="spellEnd"/>
      <w:r w:rsidR="00411DD6" w:rsidRPr="002518B6">
        <w:rPr>
          <w:rFonts w:ascii="Times New Roman" w:hAnsi="Times New Roman" w:cs="Times New Roman"/>
          <w:b/>
          <w:bCs/>
        </w:rPr>
        <w:t>.</w:t>
      </w:r>
      <w:bookmarkStart w:id="0" w:name="_GoBack"/>
      <w:bookmarkEnd w:id="0"/>
      <w:r w:rsidR="007B4B8B" w:rsidRPr="007B4B8B">
        <w:rPr>
          <w:noProof/>
          <w:lang w:eastAsia="fr-FR"/>
        </w:rPr>
        <w:t xml:space="preserve"> </w:t>
      </w:r>
      <w:r w:rsidR="007B4B8B" w:rsidRPr="007B4B8B">
        <w:rPr>
          <w:rFonts w:ascii="Times New Roman" w:hAnsi="Times New Roman" w:cs="Times New Roman"/>
          <w:b/>
          <w:bCs/>
        </w:rPr>
        <w:drawing>
          <wp:anchor distT="0" distB="0" distL="114300" distR="114300" simplePos="0" relativeHeight="251667456" behindDoc="0" locked="0" layoutInCell="1" allowOverlap="1">
            <wp:simplePos x="0" y="0"/>
            <wp:positionH relativeFrom="column">
              <wp:posOffset>5510530</wp:posOffset>
            </wp:positionH>
            <wp:positionV relativeFrom="paragraph">
              <wp:posOffset>1971040</wp:posOffset>
            </wp:positionV>
            <wp:extent cx="857250" cy="829945"/>
            <wp:effectExtent l="0" t="0" r="0" b="8255"/>
            <wp:wrapNone/>
            <wp:docPr id="9" name="Image 8" descr="O:\Logo\EN PLU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Logo\EN PLUS.png"/>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57250" cy="829945"/>
                    </a:xfrm>
                    <a:prstGeom prst="rect">
                      <a:avLst/>
                    </a:prstGeom>
                    <a:noFill/>
                    <a:ln>
                      <a:noFill/>
                    </a:ln>
                  </pic:spPr>
                </pic:pic>
              </a:graphicData>
            </a:graphic>
          </wp:anchor>
        </w:drawing>
      </w:r>
    </w:p>
    <w:sectPr w:rsidR="00411DD6" w:rsidRPr="007B4B8B" w:rsidSect="00EF6DC3">
      <w:pgSz w:w="11906" w:h="16838"/>
      <w:pgMar w:top="142" w:right="849" w:bottom="709"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B8D45EA"/>
    <w:multiLevelType w:val="hybridMultilevel"/>
    <w:tmpl w:val="8FC88DF8"/>
    <w:lvl w:ilvl="0" w:tplc="F6D03876">
      <w:start w:val="2"/>
      <w:numFmt w:val="bullet"/>
      <w:lvlText w:val="-"/>
      <w:lvlJc w:val="left"/>
      <w:pPr>
        <w:ind w:left="-66" w:hanging="360"/>
      </w:pPr>
      <w:rPr>
        <w:rFonts w:ascii="Times New Roman" w:eastAsiaTheme="minorHAnsi" w:hAnsi="Times New Roman" w:cs="Times New Roman" w:hint="default"/>
      </w:rPr>
    </w:lvl>
    <w:lvl w:ilvl="1" w:tplc="040C0003" w:tentative="1">
      <w:start w:val="1"/>
      <w:numFmt w:val="bullet"/>
      <w:lvlText w:val="o"/>
      <w:lvlJc w:val="left"/>
      <w:pPr>
        <w:ind w:left="654" w:hanging="360"/>
      </w:pPr>
      <w:rPr>
        <w:rFonts w:ascii="Courier New" w:hAnsi="Courier New" w:cs="Courier New" w:hint="default"/>
      </w:rPr>
    </w:lvl>
    <w:lvl w:ilvl="2" w:tplc="040C0005" w:tentative="1">
      <w:start w:val="1"/>
      <w:numFmt w:val="bullet"/>
      <w:lvlText w:val=""/>
      <w:lvlJc w:val="left"/>
      <w:pPr>
        <w:ind w:left="1374" w:hanging="360"/>
      </w:pPr>
      <w:rPr>
        <w:rFonts w:ascii="Wingdings" w:hAnsi="Wingdings" w:hint="default"/>
      </w:rPr>
    </w:lvl>
    <w:lvl w:ilvl="3" w:tplc="040C0001" w:tentative="1">
      <w:start w:val="1"/>
      <w:numFmt w:val="bullet"/>
      <w:lvlText w:val=""/>
      <w:lvlJc w:val="left"/>
      <w:pPr>
        <w:ind w:left="2094" w:hanging="360"/>
      </w:pPr>
      <w:rPr>
        <w:rFonts w:ascii="Symbol" w:hAnsi="Symbol" w:hint="default"/>
      </w:rPr>
    </w:lvl>
    <w:lvl w:ilvl="4" w:tplc="040C0003" w:tentative="1">
      <w:start w:val="1"/>
      <w:numFmt w:val="bullet"/>
      <w:lvlText w:val="o"/>
      <w:lvlJc w:val="left"/>
      <w:pPr>
        <w:ind w:left="2814" w:hanging="360"/>
      </w:pPr>
      <w:rPr>
        <w:rFonts w:ascii="Courier New" w:hAnsi="Courier New" w:cs="Courier New" w:hint="default"/>
      </w:rPr>
    </w:lvl>
    <w:lvl w:ilvl="5" w:tplc="040C0005" w:tentative="1">
      <w:start w:val="1"/>
      <w:numFmt w:val="bullet"/>
      <w:lvlText w:val=""/>
      <w:lvlJc w:val="left"/>
      <w:pPr>
        <w:ind w:left="3534" w:hanging="360"/>
      </w:pPr>
      <w:rPr>
        <w:rFonts w:ascii="Wingdings" w:hAnsi="Wingdings" w:hint="default"/>
      </w:rPr>
    </w:lvl>
    <w:lvl w:ilvl="6" w:tplc="040C0001" w:tentative="1">
      <w:start w:val="1"/>
      <w:numFmt w:val="bullet"/>
      <w:lvlText w:val=""/>
      <w:lvlJc w:val="left"/>
      <w:pPr>
        <w:ind w:left="4254" w:hanging="360"/>
      </w:pPr>
      <w:rPr>
        <w:rFonts w:ascii="Symbol" w:hAnsi="Symbol" w:hint="default"/>
      </w:rPr>
    </w:lvl>
    <w:lvl w:ilvl="7" w:tplc="040C0003" w:tentative="1">
      <w:start w:val="1"/>
      <w:numFmt w:val="bullet"/>
      <w:lvlText w:val="o"/>
      <w:lvlJc w:val="left"/>
      <w:pPr>
        <w:ind w:left="4974" w:hanging="360"/>
      </w:pPr>
      <w:rPr>
        <w:rFonts w:ascii="Courier New" w:hAnsi="Courier New" w:cs="Courier New" w:hint="default"/>
      </w:rPr>
    </w:lvl>
    <w:lvl w:ilvl="8" w:tplc="040C0005" w:tentative="1">
      <w:start w:val="1"/>
      <w:numFmt w:val="bullet"/>
      <w:lvlText w:val=""/>
      <w:lvlJc w:val="left"/>
      <w:pPr>
        <w:ind w:left="5694"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C81415"/>
    <w:rsid w:val="002518B6"/>
    <w:rsid w:val="00285919"/>
    <w:rsid w:val="00411DD6"/>
    <w:rsid w:val="00564ACE"/>
    <w:rsid w:val="006963D9"/>
    <w:rsid w:val="007B4B8B"/>
    <w:rsid w:val="00AD2CE9"/>
    <w:rsid w:val="00B60229"/>
    <w:rsid w:val="00C81415"/>
    <w:rsid w:val="00DE41AE"/>
    <w:rsid w:val="00EF6DC3"/>
    <w:rsid w:val="00F435F3"/>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5919"/>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C81415"/>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C81415"/>
    <w:rPr>
      <w:rFonts w:ascii="Tahoma" w:hAnsi="Tahoma" w:cs="Tahoma"/>
      <w:sz w:val="16"/>
      <w:szCs w:val="16"/>
    </w:rPr>
  </w:style>
  <w:style w:type="paragraph" w:customStyle="1" w:styleId="Default">
    <w:name w:val="Default"/>
    <w:rsid w:val="00411DD6"/>
    <w:pPr>
      <w:autoSpaceDE w:val="0"/>
      <w:autoSpaceDN w:val="0"/>
      <w:adjustRightInd w:val="0"/>
      <w:spacing w:after="0" w:line="240" w:lineRule="auto"/>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C81415"/>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C81415"/>
    <w:rPr>
      <w:rFonts w:ascii="Tahoma" w:hAnsi="Tahoma" w:cs="Tahoma"/>
      <w:sz w:val="16"/>
      <w:szCs w:val="16"/>
    </w:rPr>
  </w:style>
  <w:style w:type="paragraph" w:customStyle="1" w:styleId="Default">
    <w:name w:val="Default"/>
    <w:rsid w:val="00411DD6"/>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3" Type="http://schemas.openxmlformats.org/officeDocument/2006/relationships/settings" Target="settings.xml"/><Relationship Id="rId7" Type="http://schemas.openxmlformats.org/officeDocument/2006/relationships/image" Target="media/image3.emf"/><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630</Words>
  <Characters>3468</Characters>
  <Application>Microsoft Office Word</Application>
  <DocSecurity>0</DocSecurity>
  <Lines>28</Lines>
  <Paragraphs>8</Paragraphs>
  <ScaleCrop>false</ScaleCrop>
  <HeadingPairs>
    <vt:vector size="2" baseType="variant">
      <vt:variant>
        <vt:lpstr>Titre</vt:lpstr>
      </vt:variant>
      <vt:variant>
        <vt:i4>1</vt:i4>
      </vt:variant>
    </vt:vector>
  </HeadingPairs>
  <TitlesOfParts>
    <vt:vector size="1" baseType="lpstr">
      <vt:lpstr/>
    </vt:vector>
  </TitlesOfParts>
  <Company>HP</Company>
  <LinksUpToDate>false</LinksUpToDate>
  <CharactersWithSpaces>4090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Christelle</dc:creator>
  <cp:lastModifiedBy>karine</cp:lastModifiedBy>
  <cp:revision>2</cp:revision>
  <cp:lastPrinted>2015-09-03T14:25:00Z</cp:lastPrinted>
  <dcterms:created xsi:type="dcterms:W3CDTF">2015-09-03T14:25:00Z</dcterms:created>
  <dcterms:modified xsi:type="dcterms:W3CDTF">2015-09-03T14:25:00Z</dcterms:modified>
</cp:coreProperties>
</file>